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747D" w14:textId="77777777" w:rsidR="00B25E7A" w:rsidRDefault="009E2C98" w:rsidP="00B25E7A">
      <w:pPr>
        <w:pStyle w:val="NoSpacing"/>
        <w:jc w:val="center"/>
        <w:rPr>
          <w:rFonts w:ascii="Times New Roman" w:hAnsi="Times New Roman"/>
          <w:sz w:val="28"/>
          <w:szCs w:val="28"/>
        </w:rPr>
      </w:pPr>
      <w:r w:rsidRPr="00B25E7A">
        <w:rPr>
          <w:rFonts w:ascii="Times New Roman" w:hAnsi="Times New Roman"/>
          <w:sz w:val="28"/>
          <w:szCs w:val="28"/>
        </w:rPr>
        <w:t>SERVICE TENDER SUBMISSION FORM</w:t>
      </w:r>
    </w:p>
    <w:p w14:paraId="2683ABA4" w14:textId="77777777" w:rsidR="00B25E7A" w:rsidRPr="00B25E7A" w:rsidRDefault="00B25E7A" w:rsidP="00B25E7A">
      <w:pPr>
        <w:pStyle w:val="NoSpacing"/>
        <w:jc w:val="center"/>
        <w:rPr>
          <w:rFonts w:ascii="Times New Roman" w:hAnsi="Times New Roman"/>
          <w:b/>
          <w:sz w:val="28"/>
          <w:szCs w:val="28"/>
        </w:rPr>
      </w:pPr>
    </w:p>
    <w:p w14:paraId="51911B76" w14:textId="5D437F85" w:rsidR="00D261B4" w:rsidRPr="00B25E7A" w:rsidRDefault="00B25E7A" w:rsidP="00B25E7A">
      <w:pPr>
        <w:pStyle w:val="NoSpacing"/>
        <w:jc w:val="center"/>
        <w:rPr>
          <w:rFonts w:ascii="Times New Roman" w:hAnsi="Times New Roman"/>
          <w:b/>
          <w:sz w:val="28"/>
          <w:szCs w:val="28"/>
        </w:rPr>
      </w:pPr>
      <w:r>
        <w:rPr>
          <w:rFonts w:ascii="Times New Roman" w:hAnsi="Times New Roman"/>
          <w:sz w:val="28"/>
          <w:szCs w:val="28"/>
        </w:rPr>
        <w:t xml:space="preserve">CEFTA </w:t>
      </w:r>
      <w:r w:rsidRPr="00B25E7A">
        <w:rPr>
          <w:rFonts w:ascii="Times New Roman" w:hAnsi="Times New Roman"/>
          <w:sz w:val="28"/>
          <w:szCs w:val="28"/>
        </w:rPr>
        <w:t>FUNDED SERVICE CONTRACT</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246EC70B"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77777777" w:rsidR="00DB28E9" w:rsidRDefault="00DB28E9" w:rsidP="00DB28E9">
      <w:pPr>
        <w:pStyle w:val="Blockquote"/>
        <w:ind w:left="0"/>
        <w:jc w:val="both"/>
        <w:rPr>
          <w:sz w:val="22"/>
          <w:szCs w:val="22"/>
          <w:lang w:eastAsia="en-US"/>
        </w:rPr>
      </w:pPr>
      <w:r>
        <w:rPr>
          <w:sz w:val="22"/>
          <w:szCs w:val="22"/>
          <w:lang w:eastAsia="en-US"/>
        </w:rPr>
        <w:t>Capacity-providing entities</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21D4AD8C"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275"/>
        <w:gridCol w:w="1701"/>
        <w:gridCol w:w="1276"/>
      </w:tblGrid>
      <w:tr w:rsidR="005248C6" w:rsidRPr="0014205B" w14:paraId="02CEF19D" w14:textId="384A2E5E" w:rsidTr="005248C6">
        <w:trPr>
          <w:cantSplit/>
          <w:trHeight w:val="694"/>
        </w:trPr>
        <w:tc>
          <w:tcPr>
            <w:tcW w:w="1134" w:type="dxa"/>
            <w:tcBorders>
              <w:top w:val="nil"/>
              <w:left w:val="nil"/>
            </w:tcBorders>
          </w:tcPr>
          <w:p w14:paraId="59587DFB" w14:textId="77777777" w:rsidR="005248C6" w:rsidRPr="0014205B" w:rsidRDefault="005248C6" w:rsidP="0014205B">
            <w:pPr>
              <w:rPr>
                <w:rFonts w:ascii="Times New Roman" w:hAnsi="Times New Roman"/>
                <w:sz w:val="22"/>
                <w:szCs w:val="22"/>
              </w:rPr>
            </w:pPr>
          </w:p>
        </w:tc>
        <w:tc>
          <w:tcPr>
            <w:tcW w:w="1735" w:type="dxa"/>
            <w:shd w:val="pct5" w:color="auto" w:fill="FFFFFF"/>
          </w:tcPr>
          <w:p w14:paraId="32E5F3CE"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275" w:type="dxa"/>
            <w:shd w:val="pct5" w:color="auto" w:fill="FFFFFF"/>
          </w:tcPr>
          <w:p w14:paraId="3F54013F"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701" w:type="dxa"/>
            <w:shd w:val="pct5" w:color="auto" w:fill="FFFFFF"/>
          </w:tcPr>
          <w:p w14:paraId="14C0B704"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276" w:type="dxa"/>
            <w:shd w:val="pct5" w:color="auto" w:fill="FFFFFF"/>
          </w:tcPr>
          <w:p w14:paraId="10E1AB3C" w14:textId="44964E84" w:rsidR="005248C6" w:rsidRPr="0014205B" w:rsidRDefault="005248C6" w:rsidP="0014205B">
            <w:pPr>
              <w:spacing w:before="60" w:after="60"/>
              <w:rPr>
                <w:rFonts w:ascii="Times New Roman" w:hAnsi="Times New Roman"/>
                <w:b/>
                <w:sz w:val="22"/>
                <w:szCs w:val="22"/>
              </w:rPr>
            </w:pPr>
            <w:r>
              <w:rPr>
                <w:rFonts w:ascii="Times New Roman" w:hAnsi="Times New Roman"/>
                <w:b/>
                <w:sz w:val="22"/>
                <w:szCs w:val="22"/>
              </w:rPr>
              <w:t>PIC number</w:t>
            </w:r>
            <w:r w:rsidR="00DC7DC5">
              <w:rPr>
                <w:rStyle w:val="EndnoteReference"/>
                <w:rFonts w:ascii="Times New Roman" w:hAnsi="Times New Roman"/>
                <w:b/>
                <w:sz w:val="22"/>
                <w:szCs w:val="22"/>
              </w:rPr>
              <w:endnoteReference w:id="1"/>
            </w:r>
          </w:p>
        </w:tc>
      </w:tr>
      <w:tr w:rsidR="005248C6" w:rsidRPr="0014205B" w14:paraId="17107B61" w14:textId="17A4553A" w:rsidTr="005248C6">
        <w:trPr>
          <w:cantSplit/>
          <w:trHeight w:val="1173"/>
        </w:trPr>
        <w:tc>
          <w:tcPr>
            <w:tcW w:w="1134" w:type="dxa"/>
          </w:tcPr>
          <w:p w14:paraId="5817BB99"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2184B2D4" w14:textId="77777777" w:rsidR="005248C6" w:rsidRPr="0014205B" w:rsidRDefault="005248C6" w:rsidP="0014205B">
            <w:pPr>
              <w:rPr>
                <w:rFonts w:ascii="Times New Roman" w:hAnsi="Times New Roman"/>
                <w:sz w:val="22"/>
                <w:szCs w:val="22"/>
              </w:rPr>
            </w:pPr>
          </w:p>
        </w:tc>
        <w:tc>
          <w:tcPr>
            <w:tcW w:w="1735" w:type="dxa"/>
          </w:tcPr>
          <w:p w14:paraId="7ACD3C1D" w14:textId="77777777" w:rsidR="005248C6" w:rsidRPr="0014205B" w:rsidRDefault="005248C6" w:rsidP="0014205B">
            <w:pPr>
              <w:spacing w:before="120" w:after="120"/>
              <w:rPr>
                <w:rFonts w:ascii="Times New Roman" w:hAnsi="Times New Roman"/>
                <w:b/>
                <w:sz w:val="22"/>
                <w:szCs w:val="22"/>
              </w:rPr>
            </w:pPr>
          </w:p>
        </w:tc>
        <w:tc>
          <w:tcPr>
            <w:tcW w:w="1418" w:type="dxa"/>
          </w:tcPr>
          <w:p w14:paraId="2E882138" w14:textId="77777777" w:rsidR="005248C6" w:rsidRPr="0014205B" w:rsidRDefault="005248C6" w:rsidP="0014205B">
            <w:pPr>
              <w:spacing w:before="120" w:after="120"/>
              <w:rPr>
                <w:rFonts w:ascii="Times New Roman" w:hAnsi="Times New Roman"/>
                <w:b/>
                <w:sz w:val="22"/>
                <w:szCs w:val="22"/>
              </w:rPr>
            </w:pPr>
          </w:p>
        </w:tc>
        <w:tc>
          <w:tcPr>
            <w:tcW w:w="1134" w:type="dxa"/>
          </w:tcPr>
          <w:p w14:paraId="376F1E69" w14:textId="77777777" w:rsidR="005248C6" w:rsidRPr="0014205B" w:rsidRDefault="005248C6" w:rsidP="0014205B">
            <w:pPr>
              <w:spacing w:before="120" w:after="120"/>
              <w:rPr>
                <w:rFonts w:ascii="Times New Roman" w:hAnsi="Times New Roman"/>
                <w:b/>
                <w:sz w:val="22"/>
                <w:szCs w:val="22"/>
              </w:rPr>
            </w:pPr>
          </w:p>
        </w:tc>
        <w:tc>
          <w:tcPr>
            <w:tcW w:w="1275" w:type="dxa"/>
          </w:tcPr>
          <w:p w14:paraId="3CEE7D68" w14:textId="77777777" w:rsidR="005248C6" w:rsidRPr="0014205B" w:rsidRDefault="005248C6" w:rsidP="0014205B">
            <w:pPr>
              <w:spacing w:before="120" w:after="120"/>
              <w:rPr>
                <w:rFonts w:ascii="Times New Roman" w:hAnsi="Times New Roman"/>
                <w:b/>
                <w:sz w:val="22"/>
                <w:szCs w:val="22"/>
              </w:rPr>
            </w:pPr>
          </w:p>
        </w:tc>
        <w:tc>
          <w:tcPr>
            <w:tcW w:w="1701" w:type="dxa"/>
          </w:tcPr>
          <w:p w14:paraId="244DE1C3" w14:textId="77777777" w:rsidR="005248C6" w:rsidRPr="0014205B" w:rsidRDefault="005248C6" w:rsidP="0014205B">
            <w:pPr>
              <w:spacing w:before="120" w:after="120"/>
              <w:rPr>
                <w:rFonts w:ascii="Times New Roman" w:hAnsi="Times New Roman"/>
                <w:b/>
                <w:sz w:val="22"/>
                <w:szCs w:val="22"/>
              </w:rPr>
            </w:pPr>
          </w:p>
        </w:tc>
        <w:tc>
          <w:tcPr>
            <w:tcW w:w="1276" w:type="dxa"/>
          </w:tcPr>
          <w:p w14:paraId="166662FF" w14:textId="77777777" w:rsidR="005248C6" w:rsidRPr="0014205B" w:rsidRDefault="005248C6" w:rsidP="0014205B">
            <w:pPr>
              <w:spacing w:before="120" w:after="120"/>
              <w:rPr>
                <w:rFonts w:ascii="Times New Roman" w:hAnsi="Times New Roman"/>
                <w:b/>
                <w:sz w:val="22"/>
                <w:szCs w:val="22"/>
              </w:rPr>
            </w:pPr>
          </w:p>
        </w:tc>
      </w:tr>
      <w:tr w:rsidR="005248C6" w:rsidRPr="0014205B" w14:paraId="5D7F0031" w14:textId="1F0D172D" w:rsidTr="005248C6">
        <w:trPr>
          <w:cantSplit/>
          <w:trHeight w:val="1672"/>
        </w:trPr>
        <w:tc>
          <w:tcPr>
            <w:tcW w:w="1134" w:type="dxa"/>
          </w:tcPr>
          <w:p w14:paraId="6E59E771" w14:textId="77777777" w:rsidR="005248C6" w:rsidRPr="0014205B" w:rsidRDefault="005248C6" w:rsidP="0014205B">
            <w:pPr>
              <w:spacing w:before="120" w:after="120"/>
              <w:rPr>
                <w:rFonts w:ascii="Times New Roman" w:hAnsi="Times New Roman"/>
                <w:sz w:val="22"/>
                <w:szCs w:val="22"/>
              </w:rPr>
            </w:pPr>
            <w:r w:rsidRPr="0014205B">
              <w:rPr>
                <w:rFonts w:ascii="Times New Roman" w:hAnsi="Times New Roman"/>
                <w:b/>
                <w:sz w:val="22"/>
                <w:szCs w:val="22"/>
              </w:rPr>
              <w:t>Member</w:t>
            </w:r>
          </w:p>
          <w:p w14:paraId="0A10C487" w14:textId="77777777" w:rsidR="005248C6" w:rsidRPr="0014205B" w:rsidRDefault="005248C6" w:rsidP="0014205B">
            <w:pPr>
              <w:rPr>
                <w:rFonts w:ascii="Times New Roman" w:hAnsi="Times New Roman"/>
                <w:sz w:val="22"/>
                <w:szCs w:val="22"/>
              </w:rPr>
            </w:pPr>
          </w:p>
        </w:tc>
        <w:tc>
          <w:tcPr>
            <w:tcW w:w="1735" w:type="dxa"/>
          </w:tcPr>
          <w:p w14:paraId="405026DD" w14:textId="77777777" w:rsidR="005248C6" w:rsidRPr="0014205B" w:rsidRDefault="005248C6" w:rsidP="0014205B">
            <w:pPr>
              <w:spacing w:before="120" w:after="120"/>
              <w:rPr>
                <w:rFonts w:ascii="Times New Roman" w:hAnsi="Times New Roman"/>
                <w:b/>
                <w:sz w:val="22"/>
                <w:szCs w:val="22"/>
              </w:rPr>
            </w:pPr>
          </w:p>
        </w:tc>
        <w:tc>
          <w:tcPr>
            <w:tcW w:w="1418" w:type="dxa"/>
          </w:tcPr>
          <w:p w14:paraId="5DEFD27C" w14:textId="77777777" w:rsidR="005248C6" w:rsidRPr="0014205B" w:rsidRDefault="005248C6" w:rsidP="0014205B">
            <w:pPr>
              <w:spacing w:before="120" w:after="120"/>
              <w:rPr>
                <w:rFonts w:ascii="Times New Roman" w:hAnsi="Times New Roman"/>
                <w:b/>
                <w:sz w:val="22"/>
                <w:szCs w:val="22"/>
              </w:rPr>
            </w:pPr>
          </w:p>
        </w:tc>
        <w:tc>
          <w:tcPr>
            <w:tcW w:w="1134" w:type="dxa"/>
          </w:tcPr>
          <w:p w14:paraId="546AD5F5" w14:textId="77777777" w:rsidR="005248C6" w:rsidRPr="0014205B" w:rsidRDefault="005248C6" w:rsidP="0014205B">
            <w:pPr>
              <w:spacing w:before="120" w:after="120"/>
              <w:rPr>
                <w:rFonts w:ascii="Times New Roman" w:hAnsi="Times New Roman"/>
                <w:b/>
                <w:sz w:val="22"/>
                <w:szCs w:val="22"/>
              </w:rPr>
            </w:pPr>
          </w:p>
        </w:tc>
        <w:tc>
          <w:tcPr>
            <w:tcW w:w="1275" w:type="dxa"/>
          </w:tcPr>
          <w:p w14:paraId="219EFBF6" w14:textId="77777777" w:rsidR="005248C6" w:rsidRPr="0014205B" w:rsidRDefault="005248C6" w:rsidP="0014205B">
            <w:pPr>
              <w:spacing w:before="120" w:after="120"/>
              <w:rPr>
                <w:rFonts w:ascii="Times New Roman" w:hAnsi="Times New Roman"/>
                <w:b/>
                <w:sz w:val="22"/>
                <w:szCs w:val="22"/>
              </w:rPr>
            </w:pPr>
          </w:p>
        </w:tc>
        <w:tc>
          <w:tcPr>
            <w:tcW w:w="1701" w:type="dxa"/>
          </w:tcPr>
          <w:p w14:paraId="6B34CBAE" w14:textId="77777777" w:rsidR="005248C6" w:rsidRPr="0014205B" w:rsidRDefault="005248C6" w:rsidP="0014205B">
            <w:pPr>
              <w:spacing w:before="120" w:after="120"/>
              <w:rPr>
                <w:rFonts w:ascii="Times New Roman" w:hAnsi="Times New Roman"/>
                <w:b/>
                <w:sz w:val="22"/>
                <w:szCs w:val="22"/>
              </w:rPr>
            </w:pPr>
          </w:p>
        </w:tc>
        <w:tc>
          <w:tcPr>
            <w:tcW w:w="1276" w:type="dxa"/>
          </w:tcPr>
          <w:p w14:paraId="543EC9C0" w14:textId="77777777" w:rsidR="005248C6" w:rsidRPr="0014205B" w:rsidRDefault="005248C6" w:rsidP="0014205B">
            <w:pPr>
              <w:spacing w:before="120" w:after="120"/>
              <w:rPr>
                <w:rFonts w:ascii="Times New Roman" w:hAnsi="Times New Roman"/>
                <w:b/>
                <w:sz w:val="22"/>
                <w:szCs w:val="22"/>
              </w:rPr>
            </w:pPr>
          </w:p>
        </w:tc>
      </w:tr>
      <w:tr w:rsidR="005248C6" w:rsidRPr="0014205B" w14:paraId="5C5E85DA" w14:textId="3A1C3B69" w:rsidTr="005248C6">
        <w:trPr>
          <w:cantSplit/>
        </w:trPr>
        <w:tc>
          <w:tcPr>
            <w:tcW w:w="1134" w:type="dxa"/>
          </w:tcPr>
          <w:p w14:paraId="6C373ADB"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1DD9C258" w14:textId="77777777" w:rsidR="005248C6" w:rsidRPr="0014205B" w:rsidRDefault="005248C6" w:rsidP="0014205B">
            <w:pPr>
              <w:rPr>
                <w:rFonts w:ascii="Times New Roman" w:hAnsi="Times New Roman"/>
                <w:sz w:val="22"/>
                <w:szCs w:val="22"/>
              </w:rPr>
            </w:pPr>
          </w:p>
        </w:tc>
        <w:tc>
          <w:tcPr>
            <w:tcW w:w="1735" w:type="dxa"/>
          </w:tcPr>
          <w:p w14:paraId="46017B44" w14:textId="77777777" w:rsidR="005248C6" w:rsidRPr="0014205B" w:rsidRDefault="005248C6" w:rsidP="0014205B">
            <w:pPr>
              <w:spacing w:before="120" w:after="120"/>
              <w:rPr>
                <w:rFonts w:ascii="Times New Roman" w:hAnsi="Times New Roman"/>
                <w:b/>
                <w:sz w:val="22"/>
                <w:szCs w:val="22"/>
              </w:rPr>
            </w:pPr>
          </w:p>
        </w:tc>
        <w:tc>
          <w:tcPr>
            <w:tcW w:w="1418" w:type="dxa"/>
          </w:tcPr>
          <w:p w14:paraId="41E2BC9D" w14:textId="77777777" w:rsidR="005248C6" w:rsidRPr="0014205B" w:rsidRDefault="005248C6" w:rsidP="0014205B">
            <w:pPr>
              <w:spacing w:before="120" w:after="120"/>
              <w:rPr>
                <w:rFonts w:ascii="Times New Roman" w:hAnsi="Times New Roman"/>
                <w:b/>
                <w:sz w:val="22"/>
                <w:szCs w:val="22"/>
              </w:rPr>
            </w:pPr>
          </w:p>
        </w:tc>
        <w:tc>
          <w:tcPr>
            <w:tcW w:w="1134" w:type="dxa"/>
          </w:tcPr>
          <w:p w14:paraId="326AB5DE" w14:textId="77777777" w:rsidR="005248C6" w:rsidRPr="0014205B" w:rsidRDefault="005248C6" w:rsidP="0014205B">
            <w:pPr>
              <w:spacing w:before="120" w:after="120"/>
              <w:rPr>
                <w:rFonts w:ascii="Times New Roman" w:hAnsi="Times New Roman"/>
                <w:b/>
                <w:sz w:val="22"/>
                <w:szCs w:val="22"/>
              </w:rPr>
            </w:pPr>
          </w:p>
        </w:tc>
        <w:tc>
          <w:tcPr>
            <w:tcW w:w="1275" w:type="dxa"/>
          </w:tcPr>
          <w:p w14:paraId="42CFCF87" w14:textId="77777777" w:rsidR="005248C6" w:rsidRPr="0014205B" w:rsidRDefault="005248C6" w:rsidP="0014205B">
            <w:pPr>
              <w:spacing w:before="120" w:after="120"/>
              <w:rPr>
                <w:rFonts w:ascii="Times New Roman" w:hAnsi="Times New Roman"/>
                <w:b/>
                <w:sz w:val="22"/>
                <w:szCs w:val="22"/>
              </w:rPr>
            </w:pPr>
          </w:p>
        </w:tc>
        <w:tc>
          <w:tcPr>
            <w:tcW w:w="1701" w:type="dxa"/>
          </w:tcPr>
          <w:p w14:paraId="39594BA1" w14:textId="77777777" w:rsidR="005248C6" w:rsidRPr="0014205B" w:rsidRDefault="005248C6" w:rsidP="0014205B">
            <w:pPr>
              <w:spacing w:before="120" w:after="120"/>
              <w:rPr>
                <w:rFonts w:ascii="Times New Roman" w:hAnsi="Times New Roman"/>
                <w:b/>
                <w:sz w:val="22"/>
                <w:szCs w:val="22"/>
              </w:rPr>
            </w:pPr>
          </w:p>
        </w:tc>
        <w:tc>
          <w:tcPr>
            <w:tcW w:w="1276" w:type="dxa"/>
          </w:tcPr>
          <w:p w14:paraId="681FEDD4" w14:textId="77777777" w:rsidR="005248C6" w:rsidRPr="0014205B" w:rsidRDefault="005248C6"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56494838"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5"/>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656EEC">
        <w:rPr>
          <w:rFonts w:ascii="Times New Roman" w:hAnsi="Times New Roman"/>
          <w:b/>
          <w:sz w:val="24"/>
          <w:szCs w:val="24"/>
        </w:rPr>
        <w:t>PERSONNEL</w:t>
      </w:r>
      <w:r w:rsidRPr="0017401E">
        <w:rPr>
          <w:rFonts w:ascii="Times New Roman" w:hAnsi="Times New Roman"/>
          <w:b/>
          <w:sz w:val="24"/>
          <w:szCs w:val="24"/>
        </w:rPr>
        <w:t xml:space="preserve"> </w:t>
      </w:r>
    </w:p>
    <w:p w14:paraId="753501A1" w14:textId="717CA7D9"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656EEC">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12"/>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3"/>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4"/>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692BD29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staff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34C33ABA"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EB218F">
              <w:rPr>
                <w:rFonts w:ascii="Times New Roman" w:hAnsi="Times New Roman"/>
                <w:sz w:val="22"/>
                <w:szCs w:val="22"/>
              </w:rPr>
              <w:t>…</w:t>
            </w:r>
            <w:r w:rsidR="00EB218F">
              <w:rPr>
                <w:rStyle w:val="EndnoteReference"/>
                <w:rFonts w:ascii="Times New Roman" w:hAnsi="Times New Roman"/>
                <w:sz w:val="22"/>
                <w:szCs w:val="22"/>
              </w:rPr>
              <w:endnoteReference w:id="15"/>
            </w:r>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0C47AC81"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w:t>
      </w:r>
      <w:r w:rsidR="00EB218F">
        <w:rPr>
          <w:rFonts w:ascii="Times New Roman" w:hAnsi="Times New Roman"/>
          <w:sz w:val="22"/>
          <w:szCs w:val="22"/>
        </w:rPr>
        <w:t>4</w:t>
      </w:r>
      <w:r w:rsidRPr="0017401E">
        <w:rPr>
          <w:rFonts w:ascii="Times New Roman" w:hAnsi="Times New Roman"/>
          <w:sz w:val="22"/>
          <w:szCs w:val="22"/>
        </w:rPr>
        <w:t xml:space="preserve"> year</w:t>
      </w:r>
      <w:r w:rsidR="00EB218F">
        <w:rPr>
          <w:rFonts w:ascii="Times New Roman" w:hAnsi="Times New Roman"/>
          <w:sz w:val="22"/>
          <w:szCs w:val="22"/>
        </w:rPr>
        <w:t>s</w:t>
      </w:r>
      <w:r w:rsidR="00EB218F">
        <w:rPr>
          <w:rStyle w:val="EndnoteReference"/>
          <w:rFonts w:ascii="Times New Roman" w:hAnsi="Times New Roman"/>
          <w:sz w:val="22"/>
          <w:szCs w:val="22"/>
        </w:rPr>
        <w:endnoteReference w:id="16"/>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7"/>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8"/>
            </w:r>
          </w:p>
        </w:tc>
        <w:tc>
          <w:tcPr>
            <w:tcW w:w="1134" w:type="dxa"/>
            <w:shd w:val="pct5" w:color="auto" w:fill="FFFFFF"/>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9"/>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20"/>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0"/>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360345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w:t>
      </w:r>
      <w:r w:rsidR="00A80DC3">
        <w:rPr>
          <w:rFonts w:ascii="Times New Roman" w:hAnsi="Times New Roman"/>
          <w:sz w:val="22"/>
          <w:szCs w:val="22"/>
        </w:rPr>
        <w:t>/practitioner</w:t>
      </w:r>
      <w:r w:rsidRPr="00B07BBF">
        <w:rPr>
          <w:rFonts w:ascii="Times New Roman" w:hAnsi="Times New Roman"/>
          <w:sz w:val="22"/>
          <w:szCs w:val="22"/>
        </w:rPr>
        <w:t>,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35879A91"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 xml:space="preserve">We understand that our tender may be rejected if we propose key </w:t>
      </w:r>
      <w:r w:rsidR="00A80DC3">
        <w:rPr>
          <w:rFonts w:ascii="Times New Roman" w:hAnsi="Times New Roman"/>
          <w:color w:val="000000"/>
          <w:sz w:val="22"/>
          <w:szCs w:val="22"/>
        </w:rPr>
        <w:t xml:space="preserve">and non-key </w:t>
      </w:r>
      <w:r w:rsidRPr="00B07BBF">
        <w:rPr>
          <w:rFonts w:ascii="Times New Roman" w:hAnsi="Times New Roman"/>
          <w:color w:val="000000"/>
          <w:sz w:val="22"/>
          <w:szCs w:val="22"/>
        </w:rPr>
        <w:t>experts who have been involved in preparing this project or employ</w:t>
      </w:r>
      <w:r w:rsidR="00A80DC3">
        <w:rPr>
          <w:rFonts w:ascii="Times New Roman" w:hAnsi="Times New Roman"/>
          <w:color w:val="000000"/>
          <w:sz w:val="22"/>
          <w:szCs w:val="22"/>
        </w:rPr>
        <w:t xml:space="preserve"> or engage </w:t>
      </w:r>
      <w:r w:rsidRPr="00B07BBF">
        <w:rPr>
          <w:rFonts w:ascii="Times New Roman" w:hAnsi="Times New Roman"/>
          <w:color w:val="000000"/>
          <w:sz w:val="22"/>
          <w:szCs w:val="22"/>
        </w:rPr>
        <w:t>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BC9A5AD" w14:textId="20465613" w:rsidR="00A80DC3" w:rsidRDefault="00A80DC3" w:rsidP="00A80DC3">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for a consortium, the composition of the consortium cannot be changed in the course of the tender procedure, </w:t>
      </w:r>
      <w:r w:rsidRPr="00132ECF">
        <w:rPr>
          <w:rFonts w:ascii="Times New Roman" w:hAnsi="Times New Roman"/>
          <w:color w:val="000000"/>
          <w:sz w:val="22"/>
          <w:szCs w:val="22"/>
        </w:rPr>
        <w:t>prior written authorisation of the contracting authority is required.</w:t>
      </w:r>
      <w:r w:rsidRPr="00132ECF" w:rsidDel="005A4906">
        <w:rPr>
          <w:rFonts w:ascii="Times New Roman" w:hAnsi="Times New Roman"/>
          <w:color w:val="000000"/>
          <w:sz w:val="22"/>
          <w:szCs w:val="22"/>
        </w:rPr>
        <w:t xml:space="preserve"> </w:t>
      </w:r>
    </w:p>
    <w:p w14:paraId="103CA844" w14:textId="4D5DD36D"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w:t>
      </w:r>
      <w:r w:rsidR="00A80DC3">
        <w:rPr>
          <w:rFonts w:ascii="Times New Roman" w:hAnsi="Times New Roman"/>
          <w:sz w:val="22"/>
          <w:szCs w:val="22"/>
        </w:rPr>
        <w:t xml:space="preserve"> the </w:t>
      </w:r>
      <w:r w:rsidRPr="00B07BBF">
        <w:rPr>
          <w:rFonts w:ascii="Times New Roman" w:hAnsi="Times New Roman"/>
          <w:sz w:val="22"/>
          <w:szCs w:val="22"/>
        </w:rPr>
        <w:t>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63F94E11" w14:textId="77777777" w:rsidR="00A80DC3" w:rsidRPr="00A80DC3" w:rsidRDefault="00A80DC3" w:rsidP="00A80DC3">
      <w:pPr>
        <w:pStyle w:val="ListParagraph"/>
        <w:numPr>
          <w:ilvl w:val="0"/>
          <w:numId w:val="8"/>
        </w:numPr>
        <w:rPr>
          <w:rFonts w:ascii="Times New Roman" w:hAnsi="Times New Roman"/>
          <w:sz w:val="22"/>
          <w:szCs w:val="22"/>
        </w:rPr>
      </w:pPr>
      <w:r w:rsidRPr="00A80DC3">
        <w:rPr>
          <w:rFonts w:ascii="Times New Roman" w:hAnsi="Times New Roman"/>
          <w:sz w:val="22"/>
          <w:szCs w:val="22"/>
        </w:rPr>
        <w:t>will immediately inform the contracting authority of any changes in the situations as declared in the Declaration on honour on exclusion and selection criteria;</w:t>
      </w:r>
    </w:p>
    <w:p w14:paraId="46E96290" w14:textId="058C10A1"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w:t>
      </w:r>
      <w:r w:rsidR="00A80DC3">
        <w:rPr>
          <w:rFonts w:ascii="Times New Roman" w:hAnsi="Times New Roman"/>
          <w:sz w:val="22"/>
          <w:szCs w:val="22"/>
        </w:rPr>
        <w:t>de</w:t>
      </w:r>
      <w:r w:rsidRPr="003D01D7">
        <w:rPr>
          <w:rFonts w:ascii="Times New Roman" w:hAnsi="Times New Roman"/>
          <w:sz w:val="22"/>
          <w:szCs w:val="22"/>
        </w:rPr>
        <w:t xml:space="preserve">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32A491DE"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45B10DCB"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21"/>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BB75" w14:textId="77777777" w:rsidR="003144E8" w:rsidRDefault="003144E8" w:rsidP="006D1139">
      <w:pPr>
        <w:spacing w:before="120" w:after="0"/>
      </w:pPr>
      <w:r>
        <w:separator/>
      </w:r>
    </w:p>
  </w:endnote>
  <w:endnote w:type="continuationSeparator" w:id="0">
    <w:p w14:paraId="4E3940F3" w14:textId="77777777" w:rsidR="003144E8" w:rsidRDefault="003144E8">
      <w:r>
        <w:continuationSeparator/>
      </w:r>
    </w:p>
  </w:endnote>
  <w:endnote w:id="1">
    <w:p w14:paraId="554EF565" w14:textId="4867C9D5" w:rsidR="00DC7DC5" w:rsidRDefault="00DC7DC5">
      <w:pPr>
        <w:pStyle w:val="EndnoteText"/>
      </w:pPr>
      <w:r>
        <w:rPr>
          <w:rStyle w:val="EndnoteReference"/>
        </w:rPr>
        <w:endnoteRef/>
      </w:r>
      <w:r>
        <w:t xml:space="preserve"> </w:t>
      </w:r>
      <w:r w:rsidR="00A60524" w:rsidRPr="00A60524">
        <w:t xml:space="preserve"> In case the tenderer is an individual, mention the nationality of the individual.</w:t>
      </w:r>
    </w:p>
  </w:endnote>
  <w:endnote w:id="2">
    <w:p w14:paraId="67819719" w14:textId="0528F607" w:rsidR="005248C6" w:rsidRPr="003043BF" w:rsidRDefault="005248C6" w:rsidP="0014205B">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0C880B5C" w14:textId="3B846CC9" w:rsidR="000A20F1" w:rsidRPr="003043BF"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endnote>
  <w:endnote w:id="12">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3">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4">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5">
    <w:p w14:paraId="40B0C9C3" w14:textId="6D4019B6" w:rsidR="00EB218F" w:rsidRDefault="00EB218F">
      <w:pPr>
        <w:pStyle w:val="EndnoteText"/>
      </w:pPr>
      <w:r>
        <w:rPr>
          <w:rStyle w:val="EndnoteReference"/>
        </w:rPr>
        <w:endnoteRef/>
      </w:r>
      <w:r>
        <w:t xml:space="preserve"> </w:t>
      </w:r>
      <w:r w:rsidR="00F35779" w:rsidRPr="00F35779">
        <w:t>Add /delete additional lines and/or rows as appropriate. If this tender is submitted by an individual legal entity, the name of the legal entity should be entered as ‘Leader’ (and all other columns should be deleted).</w:t>
      </w:r>
    </w:p>
  </w:endnote>
  <w:endnote w:id="16">
    <w:p w14:paraId="34B1762E" w14:textId="30BC0702" w:rsidR="00EB218F" w:rsidRDefault="00EB218F">
      <w:pPr>
        <w:pStyle w:val="EndnoteText"/>
      </w:pPr>
      <w:r>
        <w:rPr>
          <w:rStyle w:val="EndnoteReference"/>
        </w:rPr>
        <w:endnoteRef/>
      </w:r>
      <w:r>
        <w:t xml:space="preserve"> </w:t>
      </w:r>
      <w:r w:rsidR="00F35779" w:rsidRPr="00F35779">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7">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8">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9">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20">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21">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22">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E0C8" w14:textId="77777777" w:rsidR="003144E8" w:rsidRDefault="003144E8">
      <w:r>
        <w:separator/>
      </w:r>
    </w:p>
  </w:footnote>
  <w:footnote w:type="continuationSeparator" w:id="0">
    <w:p w14:paraId="7B5C1259" w14:textId="77777777" w:rsidR="003144E8" w:rsidRDefault="003144E8">
      <w:r>
        <w:continuationSeparator/>
      </w:r>
    </w:p>
  </w:footnote>
  <w:footnote w:id="1">
    <w:p w14:paraId="67628A8D" w14:textId="788E1C84" w:rsidR="005248C6" w:rsidRPr="0014205B" w:rsidRDefault="005248C6" w:rsidP="0014205B">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C6145"/>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C4DF8"/>
    <w:rsid w:val="006C5FD4"/>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2201"/>
    <w:rsid w:val="00EA3348"/>
    <w:rsid w:val="00EA598C"/>
    <w:rsid w:val="00EB218F"/>
    <w:rsid w:val="00EB4554"/>
    <w:rsid w:val="00ED092A"/>
    <w:rsid w:val="00ED2673"/>
    <w:rsid w:val="00EE748D"/>
    <w:rsid w:val="00F01A4C"/>
    <w:rsid w:val="00F05029"/>
    <w:rsid w:val="00F1035D"/>
    <w:rsid w:val="00F13BF9"/>
    <w:rsid w:val="00F21146"/>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Props1.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3.xml><?xml version="1.0" encoding="utf-8"?>
<ds:datastoreItem xmlns:ds="http://schemas.openxmlformats.org/officeDocument/2006/customXml" ds:itemID="{C5626E65-E8C2-41AA-AF3E-94C5087820F7}">
  <ds:schemaRefs>
    <ds:schemaRef ds:uri="http://schemas.microsoft.com/sharepoint/events"/>
  </ds:schemaRefs>
</ds:datastoreItem>
</file>

<file path=customXml/itemProps4.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5.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21</cp:revision>
  <cp:lastPrinted>2025-07-31T11:21:00Z</cp:lastPrinted>
  <dcterms:created xsi:type="dcterms:W3CDTF">2024-06-25T08:28:00Z</dcterms:created>
  <dcterms:modified xsi:type="dcterms:W3CDTF">2025-09-25T13:06:00Z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